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</w:r>
    </w:p>
    <w:tbl>
      <w:tblPr>
        <w:tblStyle w:val="a"/>
        <w:tblW w:w="921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338"/>
        <w:gridCol w:w="6873"/>
      </w:tblGrid>
      <w:tr>
        <w:trPr/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LOnormal"/>
              <w:tabs>
                <w:tab w:val="center" w:pos="4252" w:leader="none"/>
                <w:tab w:val="right" w:pos="8504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DENOMINACIÓN </w:t>
            </w:r>
          </w:p>
        </w:tc>
        <w:tc>
          <w:tcPr>
            <w:tcW w:w="6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LOnormal"/>
              <w:tabs>
                <w:tab w:val="center" w:pos="4252" w:leader="none"/>
                <w:tab w:val="right" w:pos="8504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ATENCIÓN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A PERSONAS EN </w:t>
            </w:r>
            <w:r>
              <w:rPr>
                <w:rFonts w:eastAsia="Times New Roman" w:cs="Times New Roman" w:ascii="Times New Roman" w:hAnsi="Times New Roman"/>
                <w:b/>
              </w:rPr>
              <w:t>SITUACIÓN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DE DEPENDENCIA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LO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CURSO </w:t>
            </w:r>
          </w:p>
        </w:tc>
        <w:tc>
          <w:tcPr>
            <w:tcW w:w="6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SEGUNDO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LO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TÍTULO</w:t>
            </w:r>
          </w:p>
        </w:tc>
        <w:tc>
          <w:tcPr>
            <w:tcW w:w="6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TECNICO EN ATENCION A PERSONAS EN SITUACIÓN DE DEPENDENCIA</w:t>
            </w:r>
          </w:p>
        </w:tc>
      </w:tr>
    </w:tbl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rPr/>
      </w:pPr>
      <w:r>
        <w:rPr>
          <w:b/>
        </w:rPr>
        <w:t>1.  DESCRIPCIÓN DEL CURSO</w:t>
      </w:r>
    </w:p>
    <w:p>
      <w:pPr>
        <w:pStyle w:val="LOnormal"/>
        <w:ind w:left="360" w:hanging="0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Este segundo curso forma parte de las enseñanzas del Ciclo de Grado Medio, de la familia de Servicios Socioculturales, integrado por dos cursos que llevan a la obtención del título de Técnico en Atención a Personas en situación de Dependencia.</w:t>
      </w:r>
    </w:p>
    <w:p>
      <w:pPr>
        <w:pStyle w:val="LOnormal"/>
        <w:ind w:left="708" w:hanging="0"/>
        <w:jc w:val="both"/>
        <w:rPr/>
      </w:pPr>
      <w:r>
        <w:rPr/>
      </w:r>
    </w:p>
    <w:p>
      <w:pPr>
        <w:pStyle w:val="LOnormal"/>
        <w:ind w:left="708" w:hanging="0"/>
        <w:jc w:val="both"/>
        <w:rPr/>
      </w:pPr>
      <w:r>
        <w:rPr/>
        <w:t>La estructura y ordenación está definida en:</w:t>
      </w:r>
    </w:p>
    <w:p>
      <w:pPr>
        <w:pStyle w:val="LOnormal"/>
        <w:ind w:left="708" w:hanging="0"/>
        <w:jc w:val="both"/>
        <w:rPr/>
      </w:pPr>
      <w:r>
        <w:rPr/>
      </w:r>
    </w:p>
    <w:p>
      <w:pPr>
        <w:pStyle w:val="LOnormal"/>
        <w:numPr>
          <w:ilvl w:val="0"/>
          <w:numId w:val="4"/>
        </w:numPr>
        <w:jc w:val="both"/>
        <w:rPr/>
      </w:pPr>
      <w:r>
        <w:rPr>
          <w:i/>
        </w:rPr>
        <w:t>DECRETO FORAL 82/2012, de 1 de agosto, por el que se establecen la estructura y el currículo del título de Técnico en Atención a Personas en Situación de Dependencia en el ámbito de la Comunidad Foral de Navarra.</w:t>
      </w:r>
    </w:p>
    <w:p>
      <w:pPr>
        <w:pStyle w:val="LOnormal"/>
        <w:numPr>
          <w:ilvl w:val="0"/>
          <w:numId w:val="4"/>
        </w:numPr>
        <w:jc w:val="both"/>
        <w:rPr/>
      </w:pPr>
      <w:r>
        <w:rPr/>
        <w:t>Orden Foral 52/2009, de 8 de abril, sobre evaluación del alumnado de Formación Profesional.</w:t>
      </w:r>
    </w:p>
    <w:p>
      <w:pPr>
        <w:pStyle w:val="LOnormal"/>
        <w:numPr>
          <w:ilvl w:val="0"/>
          <w:numId w:val="4"/>
        </w:numPr>
        <w:jc w:val="both"/>
        <w:rPr/>
      </w:pPr>
      <w:r>
        <w:rPr/>
        <w:t>Orden Foral 86/2014, de 18 de septiembre, por el que se modifica la Orden Foral 52/2009, de 8 de abril, por la que se regula la evaluación, titulación y acreditación el alumnado de FP en Navarra.</w:t>
      </w:r>
    </w:p>
    <w:p>
      <w:pPr>
        <w:pStyle w:val="LOnormal"/>
        <w:numPr>
          <w:ilvl w:val="0"/>
          <w:numId w:val="4"/>
        </w:numPr>
        <w:jc w:val="both"/>
        <w:rPr/>
      </w:pPr>
      <w:r>
        <w:rPr/>
        <w:t xml:space="preserve">Resolución 749/2012, de 14 de diciembre, por la que se desarrollan determinados aspectos de la Orden Foral 52/2009, de 8 de abril, por la que se regula la evaluación, titulación y acreditación del alumnado de FP en el sistema educativo de Navarra. </w:t>
      </w:r>
    </w:p>
    <w:p>
      <w:pPr>
        <w:pStyle w:val="LOnormal"/>
        <w:numPr>
          <w:ilvl w:val="0"/>
          <w:numId w:val="4"/>
        </w:numPr>
        <w:jc w:val="both"/>
        <w:rPr/>
      </w:pPr>
      <w:r>
        <w:rPr/>
        <w:t>Decreto Foral 63/2013, de 30 de octubre, por el que se modifica los Decretos Forales por los que se establece la estructura y el currículo de los títulos de Técnico  Superior de formación adaptados a las Ley Orgánica 2/2006 de 3 de mayo, de Educación, en el ámbito de la Comunidad Foral de Navarra, con anterioridad al 1 de enero de 2012.</w:t>
      </w:r>
    </w:p>
    <w:p>
      <w:pPr>
        <w:pStyle w:val="LOnormal"/>
        <w:numPr>
          <w:ilvl w:val="0"/>
          <w:numId w:val="4"/>
        </w:numPr>
        <w:jc w:val="both"/>
        <w:rPr/>
      </w:pPr>
      <w:r>
        <w:rPr/>
        <w:t xml:space="preserve">Decreto Foral 115/2014, de 23 de diciembre, por el que se modifican los decretos forales por los que se establece la estructura y el currículo de determinados títulos de formación  profesional adaptados a la Ley Orgánica 2/2006, de 3 de mayo, de Educación, en el ámbito de la Comunidad Foral de Navarra. </w:t>
      </w:r>
    </w:p>
    <w:p>
      <w:pPr>
        <w:pStyle w:val="LOnormal"/>
        <w:ind w:left="360" w:hanging="0"/>
        <w:jc w:val="both"/>
        <w:rPr/>
      </w:pPr>
      <w:r>
        <w:rPr/>
      </w:r>
    </w:p>
    <w:p>
      <w:pPr>
        <w:pStyle w:val="LOnormal"/>
        <w:ind w:left="360" w:hanging="0"/>
        <w:jc w:val="both"/>
        <w:rPr/>
      </w:pPr>
      <w:r>
        <w:rPr/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  <w:u w:val="single"/>
        </w:rPr>
      </w:pPr>
      <w:r>
        <w:rPr>
          <w:b/>
          <w:color w:val="000000"/>
        </w:rPr>
        <w:t>2.  COMPETENCIA GENERAL</w:t>
      </w:r>
    </w:p>
    <w:p>
      <w:pPr>
        <w:pStyle w:val="LOnormal"/>
        <w:jc w:val="both"/>
        <w:rPr/>
      </w:pPr>
      <w:r>
        <w:rPr/>
      </w:r>
    </w:p>
    <w:p>
      <w:pPr>
        <w:pStyle w:val="LOnormal"/>
        <w:rPr>
          <w:rFonts w:ascii="Times" w:hAnsi="Times" w:eastAsia="Times" w:cs="Times"/>
        </w:rPr>
      </w:pPr>
      <w:r>
        <w:rPr/>
        <w:t>La competencia general de este título consiste en atender a las personas en situación de dependencia, en el ámbito domiciliario e institucional, a fin de mantener y mejorar su calidad de vida, realizando actividades asistenciales, no sanitarias, psicosociales y de apoyo a la gestión doméstica, aplicando medidas y normas de prevención y seguridad y derivándolas a otros servicios cuando sea necesario.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color w:val="FF0000"/>
        </w:rPr>
      </w:pPr>
      <w:r>
        <w:rPr>
          <w:b/>
        </w:rPr>
        <w:t xml:space="preserve">3.  OBJETIVOS GENERALES DEL CICLO  </w:t>
      </w:r>
    </w:p>
    <w:p>
      <w:pPr>
        <w:pStyle w:val="LOnormal"/>
        <w:jc w:val="both"/>
        <w:rPr>
          <w:highlight w:val="cyan"/>
        </w:rPr>
      </w:pPr>
      <w:r>
        <w:rPr>
          <w:highlight w:val="cyan"/>
        </w:rPr>
      </w:r>
    </w:p>
    <w:p>
      <w:pPr>
        <w:pStyle w:val="LOnormal"/>
        <w:jc w:val="both"/>
        <w:rPr/>
      </w:pPr>
      <w:r>
        <w:rPr/>
        <w:t>a) Identificar técnicas e instrumentos de observación y registro, seleccionándolos en función de las características de las personas en situación de dependencia y del plan de atención individualizado, para determinar sus necesidades asistenciales y psicosociales.</w:t>
      </w:r>
    </w:p>
    <w:p>
      <w:pPr>
        <w:pStyle w:val="LOnormal"/>
        <w:jc w:val="both"/>
        <w:rPr/>
      </w:pPr>
      <w:r>
        <w:rPr/>
        <w:t xml:space="preserve">b) Interpretar las directrices del programa de intervención, adecuándolas a las características y necesidades de las personas en situación de dependencia, para organizar las actividades asistenciales y psicosociales. </w:t>
      </w:r>
    </w:p>
    <w:p>
      <w:pPr>
        <w:pStyle w:val="LOnormal"/>
        <w:jc w:val="both"/>
        <w:rPr/>
      </w:pPr>
      <w:r>
        <w:rPr/>
        <w:t xml:space="preserve">c) Identificar las posibilidades y limitaciones de las personas en situación de dependencia, seleccionando el tipo de ayuda según sus niveles de autonomía y autodeterminación, para la realización de las actividades de higiene personal y vestido, y siguiendo las pautas marcadas en el plan de atención individualizado. </w:t>
      </w:r>
    </w:p>
    <w:p>
      <w:pPr>
        <w:pStyle w:val="LOnormal"/>
        <w:jc w:val="both"/>
        <w:rPr/>
      </w:pPr>
      <w:r>
        <w:rPr/>
        <w:t xml:space="preserve">d) Interpretar las prescripciones dietéticas establecidas en el plan de atención individualizado, adecuando los menús y la preparación de alimentos, para organizar la intervención relacionada con la alimentación. </w:t>
      </w:r>
    </w:p>
    <w:p>
      <w:pPr>
        <w:pStyle w:val="LOnormal"/>
        <w:jc w:val="both"/>
        <w:rPr/>
      </w:pPr>
      <w:r>
        <w:rPr/>
        <w:t xml:space="preserve">e) Identificar las necesidades de apoyo a la ingesta de las personas en situación de dependencia, relacionándolas con las técnicas y soportes de ayuda para administrar los alimentos. </w:t>
      </w:r>
    </w:p>
    <w:p>
      <w:pPr>
        <w:pStyle w:val="LOnormal"/>
        <w:jc w:val="both"/>
        <w:rPr/>
      </w:pPr>
      <w:r>
        <w:rPr/>
        <w:t xml:space="preserve">f) Analizar procedimientos de administración y control de gastos, relacionándolos con los recursos y necesidades de las personas en situación de dependencia para gestionar el presupuesto de la unidad de convivencia. </w:t>
      </w:r>
    </w:p>
    <w:p>
      <w:pPr>
        <w:pStyle w:val="LOnormal"/>
        <w:jc w:val="both"/>
        <w:rPr/>
      </w:pPr>
      <w:r>
        <w:rPr/>
        <w:t xml:space="preserve">g) Identificar procedimientos de mantenimiento del domicilio, seleccionando los recursos y medios necesarios que garanticen las condiciones de habitabilidad, higiene y orden con criterios de calidad, seguridad y cuidado del medio ambiente, para realizar las actividades de mantenimiento y limpieza. </w:t>
      </w:r>
    </w:p>
    <w:p>
      <w:pPr>
        <w:pStyle w:val="LOnormal"/>
        <w:jc w:val="both"/>
        <w:rPr/>
      </w:pPr>
      <w:r>
        <w:rPr/>
        <w:t xml:space="preserve">h) Seleccionar técnicas de preparación para la exploración, administración y control de medicación y recogida de muestras de la persona en situación de dependencia, relacionándolas con sus características y las pautas establecidas para llevar a cabo intervenciones relacionadas con el estado físico. </w:t>
      </w:r>
    </w:p>
    <w:p>
      <w:pPr>
        <w:pStyle w:val="LOnormal"/>
        <w:jc w:val="both"/>
        <w:rPr/>
      </w:pPr>
      <w:r>
        <w:rPr/>
        <w:t xml:space="preserve">i) Seleccionar procedimientos y ayudas técnicas, siguiendo las directrices del plan de atención individualizado y adecuándolos a la situación Página 14206 - Número 251 Jueves, 27 de diciembre de 2012 de las personas en situación de dependencia, para realizar los traslados, movilizaciones y apoyo a la deambulación de los mismos. </w:t>
      </w:r>
    </w:p>
    <w:p>
      <w:pPr>
        <w:pStyle w:val="LOnormal"/>
        <w:jc w:val="both"/>
        <w:rPr/>
      </w:pPr>
      <w:r>
        <w:rPr/>
        <w:t xml:space="preserve">j) Identificar factores de riesgo, relacionándolos con las medidas de prevención y seguridad, para aplicar las medidas adecuadas para preservar la integridad de las personas en situación de dependencia y los propios profesionales. </w:t>
      </w:r>
    </w:p>
    <w:p>
      <w:pPr>
        <w:pStyle w:val="LOnormal"/>
        <w:jc w:val="both"/>
        <w:rPr/>
      </w:pPr>
      <w:r>
        <w:rPr/>
        <w:t xml:space="preserve">k) Seleccionar técnicas de primeros auxilios, siguiendo los protocolos establecidos para actuar en situaciones de emergencia y riesgo para la salud en el desarrollo de su actividad profesional. </w:t>
      </w:r>
    </w:p>
    <w:p>
      <w:pPr>
        <w:pStyle w:val="LOnormal"/>
        <w:jc w:val="both"/>
        <w:rPr/>
      </w:pPr>
      <w:r>
        <w:rPr/>
        <w:t xml:space="preserve">l) Analizar estrategias psicológicas, rehabilitadoras, ocupacionales y de comunicación, adecuándolas a circunstancias específicas de la persona en situación de dependencia, para realizar intervenciones de apoyo psicosocial acordes con las directrices del plan de atención individualizado. </w:t>
      </w:r>
    </w:p>
    <w:p>
      <w:pPr>
        <w:pStyle w:val="LOnormal"/>
        <w:jc w:val="both"/>
        <w:rPr/>
      </w:pPr>
      <w:r>
        <w:rPr/>
        <w:t xml:space="preserve">m) Identificar sistemas de apoyo a la comunicación, relacionándolos con las características de la persona, para el desarrollo y mantenimiento de habilidades de autonomía personal y social. </w:t>
      </w:r>
    </w:p>
    <w:p>
      <w:pPr>
        <w:pStyle w:val="LOnormal"/>
        <w:jc w:val="both"/>
        <w:rPr/>
      </w:pPr>
      <w:r>
        <w:rPr/>
        <w:t xml:space="preserve">n) Seleccionar ayudas técnicas y de comunicación, relacionándolas con las posibilidades y características de la persona en situación de dependencia, para favorecer las habilidades de autonomía personal y social y las posibilidades de vida independiente. </w:t>
      </w:r>
    </w:p>
    <w:p>
      <w:pPr>
        <w:pStyle w:val="LOnormal"/>
        <w:jc w:val="both"/>
        <w:rPr/>
      </w:pPr>
      <w:r>
        <w:rPr/>
        <w:t xml:space="preserve">ñ) Identificar los principios de vida independiente, relacionándolos con las características de la persona y del contexto, para promover su autonomía y participación social. </w:t>
      </w:r>
    </w:p>
    <w:p>
      <w:pPr>
        <w:pStyle w:val="LOnormal"/>
        <w:jc w:val="both"/>
        <w:rPr/>
      </w:pPr>
      <w:r>
        <w:rPr/>
        <w:t xml:space="preserve">o) Analizar los elementos críticos del Plan Individual de Vida Independiente, relacionándolo con las decisiones de cada persona para realizar las tareas de acompañamiento y asistencia personal. </w:t>
      </w:r>
    </w:p>
    <w:p>
      <w:pPr>
        <w:pStyle w:val="LOnormal"/>
        <w:jc w:val="both"/>
        <w:rPr/>
      </w:pPr>
      <w:r>
        <w:rPr/>
        <w:t xml:space="preserve">p) Seleccionar estilos de comunicación y actitudes, relacionándolas con las características del interlocutor, para asesorar a las personas en situación de dependencia, familias y cuidadores no formales. </w:t>
      </w:r>
    </w:p>
    <w:p>
      <w:pPr>
        <w:pStyle w:val="LOnormal"/>
        <w:jc w:val="both"/>
        <w:rPr/>
      </w:pPr>
      <w:r>
        <w:rPr/>
        <w:t xml:space="preserve">q) Identificar los protocolos de actuación, relacionándolos con las contingencias, para resolverlas con seguridad y eficacia. </w:t>
      </w:r>
    </w:p>
    <w:p>
      <w:pPr>
        <w:pStyle w:val="LOnormal"/>
        <w:jc w:val="both"/>
        <w:rPr/>
      </w:pPr>
      <w:r>
        <w:rPr/>
        <w:t xml:space="preserve">r) Cumplimentar instrumentos de control y seguimiento, aplicando los protocolos, para colaborar en el control y seguimiento en las actividades asistenciales, psicosociales y de gestión. </w:t>
      </w:r>
    </w:p>
    <w:p>
      <w:pPr>
        <w:pStyle w:val="LOnormal"/>
        <w:jc w:val="both"/>
        <w:rPr/>
      </w:pPr>
      <w:r>
        <w:rPr/>
        <w:t xml:space="preserve">s) Identificar herramientas telemáticas y aplicaciones informáticas, seleccionando los protocolos establecidos para la emisión, recepción y gestión de llamadas del servicio de tele-asistencia. </w:t>
      </w:r>
    </w:p>
    <w:p>
      <w:pPr>
        <w:pStyle w:val="LOnormal"/>
        <w:jc w:val="both"/>
        <w:rPr/>
      </w:pPr>
      <w:r>
        <w:rPr/>
        <w:t xml:space="preserve">t) Analizar y utilizar los recursos existentes para el aprendizaje a lo largo de la vida y las tecnologías de la información y la comunicación para aprender y actualizar sus conocimientos, reconociendo las posibilidades de mejora profesional y personal, para adaptarse a diferentes situaciones profesionales y laborales. </w:t>
      </w:r>
    </w:p>
    <w:p>
      <w:pPr>
        <w:pStyle w:val="LOnormal"/>
        <w:jc w:val="both"/>
        <w:rPr/>
      </w:pPr>
      <w:r>
        <w:rPr/>
        <w:t xml:space="preserve">u) Desarrollar trabajos en equipo y valorar su organización, participando con tolerancia y respeto, y tomar decisiones colectivas o individuales para actuar con responsabilidad y autonomía. </w:t>
      </w:r>
    </w:p>
    <w:p>
      <w:pPr>
        <w:pStyle w:val="LOnormal"/>
        <w:jc w:val="both"/>
        <w:rPr/>
      </w:pPr>
      <w:r>
        <w:rPr/>
        <w:t xml:space="preserve">v) Adoptar y valorar soluciones creativas ante problemas y contingencias que se presentan en el desarrollo de los procesos de trabajo, para resolver de forma responsable las incidencias de su actividad. </w:t>
      </w:r>
    </w:p>
    <w:p>
      <w:pPr>
        <w:pStyle w:val="LOnormal"/>
        <w:jc w:val="both"/>
        <w:rPr/>
      </w:pPr>
      <w:r>
        <w:rPr/>
        <w:t xml:space="preserve">w) Aplicar técnicas de comunicación, adaptándose a los contenidos que se van a transmitir, a su finalidad y a las características de los receptores, para asegurar la eficacia del proceso. </w:t>
      </w:r>
    </w:p>
    <w:p>
      <w:pPr>
        <w:pStyle w:val="LOnormal"/>
        <w:jc w:val="both"/>
        <w:rPr/>
      </w:pPr>
      <w:r>
        <w:rPr/>
        <w:t xml:space="preserve">x) Analizar los riesgos ambientales y laborales asociados a la actividad profesional, relacionándolos con las causas que los producen, a fin de fundamentar las medidas preventivas que se van adoptar, y aplicar los protocolos correspondientes, para evitar daños en uno mismo, en las demás personas, en el entorno y en el medio ambiente. </w:t>
      </w:r>
    </w:p>
    <w:p>
      <w:pPr>
        <w:pStyle w:val="LOnormal"/>
        <w:jc w:val="both"/>
        <w:rPr/>
      </w:pPr>
      <w:r>
        <w:rPr/>
        <w:t xml:space="preserve">y) Analizar y aplicar las técnicas necesarias para dar respuesta a la accesibilidad universal y al “diseño para todos”. </w:t>
      </w:r>
    </w:p>
    <w:p>
      <w:pPr>
        <w:pStyle w:val="LOnormal"/>
        <w:jc w:val="both"/>
        <w:rPr/>
      </w:pPr>
      <w:r>
        <w:rPr/>
        <w:t xml:space="preserve">z) Aplicar y analizar las técnicas necesarias para mejorar los procedimientos de calidad del trabajo en el proceso de aprendizaje y del sector productivo de referencia. </w:t>
      </w:r>
    </w:p>
    <w:p>
      <w:pPr>
        <w:pStyle w:val="LOnormal"/>
        <w:jc w:val="both"/>
        <w:rPr/>
      </w:pPr>
      <w:r>
        <w:rPr/>
        <w:t xml:space="preserve">aa) Utilizar procedimientos relacionados con la cultura emprendedora, empresarial y de iniciativa profesional, para realizar la gestión básica de una pequeña empresa o emprender un trabajo. </w:t>
      </w:r>
    </w:p>
    <w:p>
      <w:pPr>
        <w:pStyle w:val="LOnormal"/>
        <w:jc w:val="both"/>
        <w:rPr/>
      </w:pPr>
      <w:r>
        <w:rPr/>
        <w:t>ab) Reconocer sus derechos y deberes como agente activo en la sociedad, teniendo en cuenta el marco legal que regula las condiciones sociales y laborales para participar como ciudadano democrático.</w:t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  <w:highlight w:val="cyan"/>
        </w:rPr>
      </w:pPr>
      <w:r>
        <w:rPr>
          <w:color w:val="000000"/>
          <w:highlight w:val="cyan"/>
        </w:rPr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  <w:highlight w:val="cyan"/>
        </w:rPr>
      </w:pPr>
      <w:r>
        <w:rPr>
          <w:color w:val="000000"/>
          <w:highlight w:val="cyan"/>
        </w:rPr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  <w:highlight w:val="cyan"/>
        </w:rPr>
      </w:pPr>
      <w:r>
        <w:rPr>
          <w:b/>
          <w:color w:val="000000"/>
        </w:rPr>
        <w:t>4.  DURACIÓN DEL CICLO</w:t>
      </w:r>
    </w:p>
    <w:p>
      <w:pPr>
        <w:pStyle w:val="LOnormal"/>
        <w:ind w:left="360" w:hanging="0"/>
        <w:jc w:val="both"/>
        <w:rPr>
          <w:highlight w:val="lightGray"/>
        </w:rPr>
      </w:pPr>
      <w:r>
        <w:rPr>
          <w:highlight w:val="lightGray"/>
        </w:rPr>
      </w:r>
    </w:p>
    <w:tbl>
      <w:tblPr>
        <w:tblStyle w:val="a0"/>
        <w:tblW w:w="857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131"/>
        <w:gridCol w:w="4442"/>
      </w:tblGrid>
      <w:tr>
        <w:trPr/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LOnormal"/>
              <w:jc w:val="both"/>
              <w:rPr/>
            </w:pPr>
            <w:r>
              <w:rPr/>
              <w:t>Nominal: horas/ciclo.</w:t>
            </w:r>
          </w:p>
        </w:tc>
        <w:tc>
          <w:tcPr>
            <w:tcW w:w="4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LOnormal"/>
              <w:jc w:val="both"/>
              <w:rPr/>
            </w:pPr>
            <w:r>
              <w:rPr/>
              <w:t>2287</w:t>
            </w:r>
          </w:p>
        </w:tc>
      </w:tr>
    </w:tbl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En el primer curso se imparten 1050 horas nominales en 175 días lectivos.</w:t>
      </w:r>
    </w:p>
    <w:p>
      <w:pPr>
        <w:pStyle w:val="LOnormal"/>
        <w:jc w:val="both"/>
        <w:rPr/>
      </w:pPr>
      <w:r>
        <w:rPr/>
        <w:t>En el segundo curso se imparten 570 horas nominales en 120 días lectivos, más 667 horas del módulo Formación en centros de trabajo.</w:t>
      </w:r>
    </w:p>
    <w:p>
      <w:pPr>
        <w:pStyle w:val="LOnormal"/>
        <w:jc w:val="both"/>
        <w:rPr/>
      </w:pPr>
      <w:r>
        <w:rPr/>
        <w:t>Tendrán consideración de días lectivos, tres últimos días del curso.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color w:val="FF0000"/>
        </w:rPr>
      </w:pPr>
      <w:r>
        <w:rPr>
          <w:color w:val="FF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/>
      </w:pPr>
      <w:r>
        <w:rPr>
          <w:b/>
        </w:rPr>
        <w:t>5. CONDICIONES DE ACCESO</w:t>
      </w:r>
    </w:p>
    <w:p>
      <w:pPr>
        <w:pStyle w:val="LOnormal"/>
        <w:jc w:val="both"/>
        <w:rPr/>
      </w:pPr>
      <w:r>
        <w:rPr/>
        <w:t>1.  Haber superado la totalidad de los módulos de primero.</w:t>
      </w:r>
    </w:p>
    <w:p>
      <w:pPr>
        <w:pStyle w:val="LOnormal"/>
        <w:jc w:val="both"/>
        <w:rPr/>
      </w:pPr>
      <w:r>
        <w:rPr/>
        <w:t>2. Excepcionalmente, y previa valoración del equipo docente, el alumnado podrá promocionar de curso con un máximo de dos módulos no superados, siempre y cuando éstos no superen las doscientas cincuenta horas.</w:t>
      </w:r>
    </w:p>
    <w:p>
      <w:pPr>
        <w:pStyle w:val="LOnormal"/>
        <w:jc w:val="both"/>
        <w:rPr/>
      </w:pPr>
      <w:r>
        <w:rPr/>
        <w:t>  </w:t>
      </w:r>
    </w:p>
    <w:p>
      <w:pPr>
        <w:pStyle w:val="LOnormal"/>
        <w:jc w:val="both"/>
        <w:rPr/>
      </w:pPr>
      <w:r>
        <w:rPr>
          <w:b/>
        </w:rPr>
        <w:t>6. CONDICIONES PARA LA PROMOCIÓN</w:t>
      </w:r>
    </w:p>
    <w:p>
      <w:pPr>
        <w:pStyle w:val="LOnormal"/>
        <w:jc w:val="both"/>
        <w:rPr/>
      </w:pPr>
      <w:r>
        <w:rPr/>
        <w:t>Haber superado todas las materias incluido el módulo de FCT.</w:t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  <w:highlight w:val="cyan"/>
        </w:rPr>
      </w:pPr>
      <w:r>
        <w:rPr>
          <w:b/>
          <w:color w:val="000000"/>
        </w:rPr>
        <w:t>7.  PLAN DE EVALUACIONES DEL ALUMNADO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 xml:space="preserve">La evaluación del alumnado será personalizada, integradora y continua, con un carácter eminentemente formativo. El proceso de evaluación no debe limitarse a comprobar la progresión del alumnado en la adquisición de conocimientos, debiendo valorar asimismo las habilidades, capacidades, competencias y resultados de aprendizaje obtenidos por le propio alumno/a en cada módulo, con su participación activa en el proceso continuo. Por tanto es un sistema de evaluación basado en la observación y valoración del trabajo cotidiano realizado por el alumnado y requiere, necesariamente, la asistencia regular de éste a las clases y actividades formativas. </w:t>
      </w:r>
    </w:p>
    <w:p>
      <w:pPr>
        <w:pStyle w:val="LOnormal"/>
        <w:jc w:val="both"/>
        <w:rPr/>
      </w:pPr>
      <w:r>
        <w:rPr/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  <w:t xml:space="preserve">En las primeras semanas de curso, y mediante el Extracto de la Programación, el profesorado de cada materia, dará a conocer por escrito al alumnado: </w:t>
      </w:r>
    </w:p>
    <w:p>
      <w:pPr>
        <w:pStyle w:val="LOnormal"/>
        <w:numPr>
          <w:ilvl w:val="0"/>
          <w:numId w:val="1"/>
        </w:numPr>
        <w:tabs>
          <w:tab w:val="center" w:pos="4252" w:leader="none"/>
          <w:tab w:val="right" w:pos="8504" w:leader="none"/>
        </w:tabs>
        <w:ind w:firstLine="349"/>
        <w:jc w:val="both"/>
        <w:rPr>
          <w:color w:val="000000"/>
        </w:rPr>
      </w:pPr>
      <w:r>
        <w:rPr>
          <w:color w:val="000000"/>
        </w:rPr>
        <w:t>Objetivos o Resultados de Aprendizaje.</w:t>
      </w:r>
    </w:p>
    <w:p>
      <w:pPr>
        <w:pStyle w:val="LOnormal"/>
        <w:numPr>
          <w:ilvl w:val="0"/>
          <w:numId w:val="1"/>
        </w:numPr>
        <w:tabs>
          <w:tab w:val="center" w:pos="4252" w:leader="none"/>
          <w:tab w:val="right" w:pos="8504" w:leader="none"/>
        </w:tabs>
        <w:ind w:firstLine="349"/>
        <w:jc w:val="both"/>
        <w:rPr>
          <w:color w:val="000000"/>
        </w:rPr>
      </w:pPr>
      <w:r>
        <w:rPr>
          <w:color w:val="000000"/>
        </w:rPr>
        <w:t>Contenidos o Bloques temáticos, y mínimos exigibles.</w:t>
      </w:r>
    </w:p>
    <w:p>
      <w:pPr>
        <w:pStyle w:val="LOnormal"/>
        <w:numPr>
          <w:ilvl w:val="0"/>
          <w:numId w:val="1"/>
        </w:numPr>
        <w:tabs>
          <w:tab w:val="center" w:pos="4252" w:leader="none"/>
          <w:tab w:val="right" w:pos="8504" w:leader="none"/>
        </w:tabs>
        <w:ind w:firstLine="349"/>
        <w:jc w:val="both"/>
        <w:rPr>
          <w:color w:val="000000"/>
        </w:rPr>
      </w:pPr>
      <w:r>
        <w:rPr>
          <w:color w:val="000000"/>
        </w:rPr>
        <w:t xml:space="preserve">Sistema de Evaluación y Recuperación (Con sus criterios para la evaluación de los resultados de aprendizaje, procedimientos de evaluación, criterios de calificación, actividades de recuperación, instrumentos y sistema  de evaluación para el alumnado que ha perdido el derecho a la evaluación continua. </w:t>
      </w:r>
    </w:p>
    <w:p>
      <w:pPr>
        <w:pStyle w:val="LOnormal"/>
        <w:tabs>
          <w:tab w:val="center" w:pos="4252" w:leader="none"/>
          <w:tab w:val="right" w:pos="8504" w:leader="none"/>
        </w:tabs>
        <w:ind w:left="113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  <w:t>A lo largo del proceso de aprendizaje se realizarán tres sesiones de evaluación, repartidas proporcionalmente de acuerdo con el calendario lectivo. De cada sesión de evaluación se levantará acta, que el tutor/a entregará en Jefatura de Estudios. De cada sesión de evaluación se remitirá al alumnado o tutor/a legal, el correspondiente boletín de calificaciones.</w:t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/>
      </w:pPr>
      <w:r>
        <w:rPr/>
        <w:t>El proceso de evaluación continua exige la asistencia regular del alumnado a las actividades programadas para los  distintos módulos que integran el ciclo formativo. Dicha asistencia será, con carácter general, no inferior al 85 % de la duración total de cada módulo. El incumplimiento de dicho requisito supondrá la pérdida del derecho a evaluación continua en el módulo donde no se haya alcanzado la asistencia mínima.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b/>
          <w:color w:val="000000"/>
        </w:rPr>
        <w:t>8.  SERVICIOS ADICIONALES AL CURSO</w:t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numPr>
          <w:ilvl w:val="0"/>
          <w:numId w:val="5"/>
        </w:numPr>
        <w:jc w:val="both"/>
        <w:rPr/>
      </w:pPr>
      <w:r>
        <w:rPr/>
        <w:t xml:space="preserve">Biblioteca. </w:t>
      </w:r>
    </w:p>
    <w:p>
      <w:pPr>
        <w:pStyle w:val="LOnormal"/>
        <w:numPr>
          <w:ilvl w:val="0"/>
          <w:numId w:val="5"/>
        </w:numPr>
        <w:jc w:val="both"/>
        <w:rPr/>
      </w:pPr>
      <w:r>
        <w:rPr/>
        <w:t>Orientación: escolar y  laboral.</w:t>
      </w:r>
    </w:p>
    <w:p>
      <w:pPr>
        <w:pStyle w:val="LOnormal"/>
        <w:numPr>
          <w:ilvl w:val="0"/>
          <w:numId w:val="5"/>
        </w:numPr>
        <w:jc w:val="both"/>
        <w:rPr/>
      </w:pPr>
      <w:r>
        <w:rPr/>
        <w:t>Viajes a empresas relacionadas con el título: al menos dos en cada uno de los dos cursos.</w:t>
      </w:r>
    </w:p>
    <w:p>
      <w:pPr>
        <w:pStyle w:val="LOnormal"/>
        <w:numPr>
          <w:ilvl w:val="0"/>
          <w:numId w:val="5"/>
        </w:numPr>
        <w:jc w:val="both"/>
        <w:rPr/>
      </w:pPr>
      <w:r>
        <w:rPr/>
        <w:t>Actividades Extraescolares afines y “complementarias a la formación”: idiomas, ofimática, deportivas, etc.</w:t>
      </w:r>
    </w:p>
    <w:p>
      <w:pPr>
        <w:pStyle w:val="LOnormal"/>
        <w:numPr>
          <w:ilvl w:val="0"/>
          <w:numId w:val="5"/>
        </w:numPr>
        <w:jc w:val="both"/>
        <w:rPr/>
      </w:pPr>
      <w:r>
        <w:rPr/>
        <w:t xml:space="preserve">Polideportivo. </w:t>
      </w:r>
    </w:p>
    <w:p>
      <w:pPr>
        <w:pStyle w:val="LOnormal"/>
        <w:numPr>
          <w:ilvl w:val="0"/>
          <w:numId w:val="5"/>
        </w:numPr>
        <w:jc w:val="both"/>
        <w:rPr/>
      </w:pPr>
      <w:r>
        <w:rPr/>
        <w:t>Cafetería</w:t>
      </w:r>
    </w:p>
    <w:p>
      <w:pPr>
        <w:pStyle w:val="LOnormal"/>
        <w:jc w:val="both"/>
        <w:rPr/>
      </w:pPr>
      <w:r>
        <w:rPr/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FF0000"/>
        </w:rPr>
      </w:pPr>
      <w:r>
        <w:rPr>
          <w:color w:val="000000"/>
        </w:rPr>
        <w:t xml:space="preserve">9.  ITINERARIO FORMATIVO </w:t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tbl>
      <w:tblPr>
        <w:tblStyle w:val="a1"/>
        <w:tblW w:w="9356" w:type="dxa"/>
        <w:jc w:val="left"/>
        <w:tblInd w:w="-80" w:type="dxa"/>
        <w:tblBorders>
          <w:top w:val="single" w:sz="6" w:space="0" w:color="000001"/>
          <w:left w:val="single" w:sz="6" w:space="0" w:color="000001"/>
        </w:tblBorders>
        <w:tblCellMar>
          <w:top w:w="0" w:type="dxa"/>
          <w:left w:w="99" w:type="dxa"/>
          <w:bottom w:w="0" w:type="dxa"/>
          <w:right w:w="108" w:type="dxa"/>
        </w:tblCellMar>
        <w:tblLook w:val="0000"/>
      </w:tblPr>
      <w:tblGrid>
        <w:gridCol w:w="993"/>
        <w:gridCol w:w="1561"/>
        <w:gridCol w:w="1416"/>
        <w:gridCol w:w="5386"/>
      </w:tblGrid>
      <w:tr>
        <w:trPr>
          <w:trHeight w:val="480" w:hRule="atLeast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</w:tcBorders>
            <w:shd w:color="auto" w:fill="B3B3B3" w:val="clear"/>
            <w:tcMar>
              <w:left w:w="99" w:type="dxa"/>
            </w:tcMar>
            <w:vAlign w:val="center"/>
          </w:tcPr>
          <w:p>
            <w:pPr>
              <w:pStyle w:val="LOnormal"/>
              <w:tabs>
                <w:tab w:val="center" w:pos="4252" w:leader="none"/>
                <w:tab w:val="right" w:pos="8504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Curso: </w:t>
            </w:r>
          </w:p>
        </w:tc>
        <w:tc>
          <w:tcPr>
            <w:tcW w:w="83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3B3B3" w:val="clear"/>
            <w:vAlign w:val="center"/>
          </w:tcPr>
          <w:p>
            <w:pPr>
              <w:pStyle w:val="LOnormal"/>
              <w:tabs>
                <w:tab w:val="center" w:pos="4252" w:leader="none"/>
                <w:tab w:val="right" w:pos="8504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SEGUNDO de ATENCION A PERSONAS EN SITUACION DE DEPENDENCIA</w:t>
            </w:r>
          </w:p>
        </w:tc>
      </w:tr>
      <w:tr>
        <w:trPr>
          <w:trHeight w:val="480" w:hRule="atLeast"/>
        </w:trPr>
        <w:tc>
          <w:tcPr>
            <w:tcW w:w="25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Codificación 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Áreas / Materias / Módulos</w:t>
            </w: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Horas curso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(Horas semana)</w:t>
            </w:r>
          </w:p>
        </w:tc>
        <w:tc>
          <w:tcPr>
            <w:tcW w:w="5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LOnormal"/>
              <w:keepNext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Contenidos básicos</w:t>
            </w:r>
          </w:p>
        </w:tc>
      </w:tr>
      <w:tr>
        <w:trPr>
          <w:trHeight w:val="294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0213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Atención y apoyo psicosocial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(5)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Organización del entorno de intervención.</w:t>
            </w:r>
          </w:p>
          <w:p>
            <w:pPr>
              <w:pStyle w:val="LOnormal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Aplicación de técnicas y ejercicios de mantenimiento y entrenamiento psicológico, rehabilitador y ocupacional.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Caracterización de técnicas de acompañamiento para personas en situación de dependencia.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Caracterización de técnicas de acompañamiento para personas en situación de dependencia.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Descripción de estrategias y técnicas de animación grupal.</w:t>
            </w:r>
          </w:p>
          <w:p>
            <w:pPr>
              <w:pStyle w:val="LOnormal"/>
              <w:ind w:left="7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2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0217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Atención Higiénica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150</w:t>
            </w:r>
          </w:p>
          <w:p>
            <w:pPr>
              <w:pStyle w:val="LO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</w:rPr>
              <w:t>(4)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Organización de actividades de atención higiénica.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Aplicación de actividades de higiene y aseo de la persona en situación de dependencia.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Aplicación de actividades de higiene del entorno.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Control y seguimiento de las actividades de atención higiénica.</w:t>
            </w:r>
          </w:p>
          <w:p>
            <w:pPr>
              <w:pStyle w:val="LOnormal"/>
              <w:ind w:left="7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2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0831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Teleasistencia</w:t>
            </w:r>
          </w:p>
          <w:p>
            <w:pPr>
              <w:pStyle w:val="LO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(2)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Organización del puesto de trabajo.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Gestión de llamadas salientes.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Gestión de llamadas entrantes.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Seguimiento de llamadas entrantes y salientes.</w:t>
            </w:r>
          </w:p>
          <w:p>
            <w:pPr>
              <w:pStyle w:val="LOnormal"/>
              <w:ind w:left="7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98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0020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Primeros auxilios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(2)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Objetivos y límites de los primeros auxilios.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Tipos de accidentes y sus consecuencias.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Signos de compromiso vital y toma de constantes vitales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Métodos y materiales de protección.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Medidas de autoprotección personal.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Botiquín de primeros auxilios.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Signos y síntomas de urgencia y posiciones de seguridad.</w:t>
            </w:r>
          </w:p>
          <w:p>
            <w:pPr>
              <w:pStyle w:val="LOnormal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Técnicas de movilización e inmovilización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Valoración del nivel de consciencia.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Protocolo de transmisión de la información.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Aplicación de técnicas de soporte vital</w:t>
            </w:r>
          </w:p>
          <w:p>
            <w:pPr>
              <w:pStyle w:val="LOnormal"/>
              <w:numPr>
                <w:ilvl w:val="0"/>
                <w:numId w:val="3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Control de la permeabilidad de las vías aéreas.</w:t>
            </w:r>
          </w:p>
        </w:tc>
      </w:tr>
      <w:tr>
        <w:trPr>
          <w:trHeight w:val="144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0219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Empresa e iniciativa emprendedora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(2)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Iniciativa emprendedora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La comunicación, el  liderazgo y la creatividad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La empresa y  su entorno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Creación y puesta en marcha de una empresa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Función administrativa, comercial y  financiera</w:t>
            </w:r>
          </w:p>
          <w:p>
            <w:pPr>
              <w:pStyle w:val="LOnormal"/>
              <w:ind w:left="7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66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NA17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Relación de ayuda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(3)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La relación de ayuda.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Principales opciones pedagógicas que animan los procesos de relación de ayuda.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Elementos de planificación de la intervención socioeducativa.</w:t>
            </w:r>
          </w:p>
          <w:p>
            <w:pPr>
              <w:pStyle w:val="LOnormal"/>
              <w:numPr>
                <w:ilvl w:val="0"/>
                <w:numId w:val="2"/>
              </w:numPr>
              <w:rPr/>
            </w:pPr>
            <w:r>
              <w:rPr>
                <w:rFonts w:eastAsia="Times New Roman" w:cs="Times New Roman" w:ascii="Times New Roman" w:hAnsi="Times New Roman"/>
              </w:rPr>
              <w:t>Elementos que configuran la identidad profesional.</w:t>
            </w:r>
          </w:p>
          <w:p>
            <w:pPr>
              <w:pStyle w:val="LOnormal"/>
              <w:ind w:left="7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660" w:hRule="atLeast"/>
        </w:trPr>
        <w:tc>
          <w:tcPr>
            <w:tcW w:w="2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0220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Formación en centros de trabajo formato DUAL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667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(16 horas por semana*)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(FCT =370 horas)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  <w:right w:w="62" w:type="dxa"/>
            </w:tcMar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Identifica la estructura y organización de la empresa, relacionándolas con el tipo de servicio que presta. </w:t>
            </w:r>
          </w:p>
          <w:p>
            <w:pPr>
              <w:pStyle w:val="LOnormal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Aplica hábitos éticos y laborales en el desarrollo de su actividad profesional, de acuerdo con las características del puesto de trabajo y con los procedimientos establecidos en la empresa </w:t>
            </w:r>
          </w:p>
          <w:p>
            <w:pPr>
              <w:pStyle w:val="LOnormal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Realiza operaciones de preparación de la actividad laboral, aplicando técnicas y procedimientos de acuerdo a instrucciones y normas establecidas </w:t>
            </w:r>
          </w:p>
          <w:p>
            <w:pPr>
              <w:pStyle w:val="LOnormal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Implementa las actividades previstas en el plan de trabajo, relacionando las instrucciones y normas establecidas con la aplicación de procedimientos y técnicas inherentes a las actividades que hay que desarrollar. </w:t>
            </w:r>
          </w:p>
          <w:p>
            <w:pPr>
              <w:pStyle w:val="LOnormal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Cumple criterios de seguridad e higiene, actuando según normas higiénico-sanitarias de seguridad laboral y de protección ambiental.</w:t>
            </w:r>
          </w:p>
          <w:p>
            <w:pPr>
              <w:pStyle w:val="LOnormal"/>
              <w:ind w:left="7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* Dos días por semana.</w:t>
            </w:r>
          </w:p>
        </w:tc>
      </w:tr>
    </w:tbl>
    <w:p>
      <w:pPr>
        <w:pStyle w:val="LOnormal"/>
        <w:tabs>
          <w:tab w:val="center" w:pos="4252" w:leader="none"/>
          <w:tab w:val="right" w:pos="8504" w:leader="none"/>
        </w:tabs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enter" w:pos="4252" w:leader="none"/>
          <w:tab w:val="right" w:pos="8504" w:leader="none"/>
        </w:tabs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851" w:top="1258" w:footer="360" w:bottom="993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left" w:pos="382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pacing w:lineRule="auto" w:line="276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  <w:tbl>
    <w:tblPr>
      <w:tblStyle w:val="a2"/>
      <w:tblW w:w="9142" w:type="dxa"/>
      <w:jc w:val="left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  <w:tblLook w:val="0000"/>
    </w:tblPr>
    <w:tblGrid>
      <w:gridCol w:w="5103"/>
      <w:gridCol w:w="1700"/>
      <w:gridCol w:w="2339"/>
    </w:tblGrid>
    <w:tr>
      <w:trPr/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C.I.P. TAFALLA</w:t>
          </w:r>
        </w:p>
      </w:tc>
      <w:tc>
        <w:tcPr>
          <w:tcW w:w="4039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SP012AD2</w:t>
          </w:r>
        </w:p>
      </w:tc>
    </w:tr>
    <w:tr>
      <w:trPr>
        <w:trHeight w:val="120" w:hRule="atLeast"/>
      </w:trPr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PLANIFICACIÓN DEL SERVICIO</w:t>
          </w:r>
        </w:p>
      </w:tc>
      <w:tc>
        <w:tcPr>
          <w:tcW w:w="4039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/>
          </w:pPr>
          <w:r>
            <w:rPr>
              <w:rFonts w:eastAsia="Times New Roman" w:cs="Times New Roman" w:ascii="Times New Roman" w:hAnsi="Times New Roman"/>
              <w:color w:val="000000"/>
            </w:rPr>
            <w:t>Rev.: 10</w:t>
          </w:r>
        </w:p>
      </w:tc>
    </w:tr>
    <w:tr>
      <w:trPr>
        <w:trHeight w:val="260" w:hRule="atLeast"/>
      </w:trPr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ESPECIFICACIONES DE LOS CURSOS</w:t>
          </w:r>
        </w:p>
      </w:tc>
      <w:tc>
        <w:tcPr>
          <w:tcW w:w="17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Fecha 02/05/201</w:t>
          </w:r>
          <w:r>
            <w:rPr>
              <w:rFonts w:eastAsia="Times New Roman" w:cs="Times New Roman" w:ascii="Times New Roman" w:hAnsi="Times New Roman"/>
            </w:rPr>
            <w:t>8</w:t>
          </w:r>
        </w:p>
      </w:tc>
      <w:tc>
        <w:tcPr>
          <w:tcW w:w="233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/>
          </w:pPr>
          <w:r>
            <w:rPr>
              <w:rFonts w:eastAsia="Times New Roman" w:cs="Times New Roman" w:ascii="Times New Roman" w:hAnsi="Times New Roman"/>
              <w:color w:val="000000"/>
            </w:rPr>
            <w:t xml:space="preserve">Pág.: </w:t>
          </w:r>
          <w:r>
            <w:rPr>
              <w:rFonts w:eastAsia="Times New Roman" w:cs="Times New Roman" w:ascii="Times New Roman" w:hAnsi="Times New Roman"/>
              <w:color w:val="00000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eastAsia="Times New Roman" w:cs="Times New Roman" w:ascii="Times New Roman" w:hAnsi="Times New Roman"/>
              <w:color w:val="000000"/>
            </w:rPr>
            <w:t>/</w:t>
          </w:r>
          <w:r>
            <w:rPr>
              <w:rFonts w:eastAsia="Times New Roman" w:cs="Times New Roman" w:ascii="Times New Roman" w:hAnsi="Times New Roman"/>
              <w:color w:val="000000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8</w:t>
          </w:r>
          <w:r>
            <w:fldChar w:fldCharType="end"/>
          </w:r>
        </w:p>
      </w:tc>
    </w:tr>
  </w:tbl>
  <w:p>
    <w:pPr>
      <w:pStyle w:val="LOnormal"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pacing w:lineRule="auto" w:line="276"/>
      <w:rPr>
        <w:color w:val="000000"/>
      </w:rPr>
    </w:pPr>
    <w:r>
      <w:rPr>
        <w:color w:val="000000"/>
      </w:rPr>
    </w:r>
  </w:p>
  <w:tbl>
    <w:tblPr>
      <w:tblStyle w:val="a3"/>
      <w:tblW w:w="9142" w:type="dxa"/>
      <w:jc w:val="left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  <w:tblLook w:val="0000"/>
    </w:tblPr>
    <w:tblGrid>
      <w:gridCol w:w="5103"/>
      <w:gridCol w:w="1700"/>
      <w:gridCol w:w="2339"/>
    </w:tblGrid>
    <w:tr>
      <w:trPr/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C.I.P. TAFALLA</w:t>
          </w:r>
        </w:p>
      </w:tc>
      <w:tc>
        <w:tcPr>
          <w:tcW w:w="4039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FF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SP012AD2</w:t>
          </w:r>
        </w:p>
      </w:tc>
    </w:tr>
    <w:tr>
      <w:trPr>
        <w:trHeight w:val="120" w:hRule="atLeast"/>
      </w:trPr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PLANIFICACIÓN DEL SERVICIO</w:t>
          </w:r>
        </w:p>
      </w:tc>
      <w:tc>
        <w:tcPr>
          <w:tcW w:w="4039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Rev.: 10</w:t>
          </w:r>
        </w:p>
      </w:tc>
    </w:tr>
    <w:tr>
      <w:trPr>
        <w:trHeight w:val="260" w:hRule="atLeast"/>
      </w:trPr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ESPECIFICACIONES DE LOS CURSOS</w:t>
          </w:r>
        </w:p>
      </w:tc>
      <w:tc>
        <w:tcPr>
          <w:tcW w:w="17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>
              <w:rFonts w:ascii="Times New Roman" w:hAnsi="Times New Roman" w:eastAsia="Times New Roman" w:cs="Times New Roman"/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</w:rPr>
            <w:t>Fecha: 02/05/1</w:t>
          </w:r>
          <w:r>
            <w:rPr>
              <w:rFonts w:eastAsia="Times New Roman" w:cs="Times New Roman" w:ascii="Times New Roman" w:hAnsi="Times New Roman"/>
            </w:rPr>
            <w:t>8</w:t>
          </w:r>
        </w:p>
      </w:tc>
      <w:tc>
        <w:tcPr>
          <w:tcW w:w="233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103" w:type="dxa"/>
          </w:tcMar>
          <w:vAlign w:val="center"/>
        </w:tcPr>
        <w:p>
          <w:pPr>
            <w:pStyle w:val="LOnormal"/>
            <w:tabs>
              <w:tab w:val="center" w:pos="4252" w:leader="none"/>
              <w:tab w:val="right" w:pos="8504" w:leader="none"/>
            </w:tabs>
            <w:jc w:val="center"/>
            <w:rPr/>
          </w:pPr>
          <w:r>
            <w:rPr>
              <w:rFonts w:eastAsia="Times New Roman" w:cs="Times New Roman" w:ascii="Times New Roman" w:hAnsi="Times New Roman"/>
              <w:color w:val="000000"/>
            </w:rPr>
            <w:t xml:space="preserve">Pág.: </w:t>
          </w:r>
          <w:r>
            <w:rPr>
              <w:rFonts w:eastAsia="Times New Roman" w:cs="Times New Roman" w:ascii="Times New Roman" w:hAnsi="Times New Roman"/>
              <w:color w:val="00000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Times New Roman" w:ascii="Times New Roman" w:hAnsi="Times New Roman"/>
              <w:color w:val="000000"/>
            </w:rPr>
            <w:t>/</w:t>
          </w:r>
          <w:r>
            <w:rPr>
              <w:rFonts w:eastAsia="Times New Roman" w:cs="Times New Roman" w:ascii="Times New Roman" w:hAnsi="Times New Roman"/>
              <w:color w:val="000000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8</w:t>
          </w:r>
          <w:r>
            <w:fldChar w:fldCharType="end"/>
          </w:r>
        </w:p>
      </w:tc>
    </w:tr>
  </w:tbl>
  <w:p>
    <w:pPr>
      <w:pStyle w:val="LOnormal"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  <w:position w:val="0"/>
        <w:sz w:val="19"/>
        <w:sz w:val="19"/>
        <w:szCs w:val="19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  <w:position w:val="0"/>
        <w:sz w:val="19"/>
        <w:sz w:val="19"/>
        <w:szCs w:val="19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  <w:position w:val="0"/>
        <w:sz w:val="24"/>
        <w:sz w:val="24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  <w:color w:val="00000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00000A"/>
      <w:sz w:val="24"/>
      <w:szCs w:val="24"/>
      <w:lang w:val="es-ES" w:eastAsia="es-ES" w:bidi="ar-SA"/>
    </w:rPr>
  </w:style>
  <w:style w:type="paragraph" w:styleId="Ttulo1">
    <w:name w:val="Heading 1"/>
    <w:basedOn w:val="Ttulo"/>
    <w:qFormat/>
    <w:rsid w:val="00eb71f9"/>
    <w:pPr>
      <w:keepNext/>
      <w:keepLines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sz w:val="48"/>
      <w:szCs w:val="48"/>
      <w:lang w:val="es-ES" w:eastAsia="es-ES" w:bidi="ar-SA"/>
    </w:rPr>
  </w:style>
  <w:style w:type="paragraph" w:styleId="Ttulo2">
    <w:name w:val="Heading 2"/>
    <w:basedOn w:val="Ttulo"/>
    <w:qFormat/>
    <w:rsid w:val="00eb71f9"/>
    <w:pPr>
      <w:keepNext/>
      <w:keepLines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sz w:val="36"/>
      <w:szCs w:val="36"/>
      <w:lang w:val="es-ES" w:eastAsia="es-ES" w:bidi="ar-SA"/>
    </w:rPr>
  </w:style>
  <w:style w:type="paragraph" w:styleId="Ttulo3">
    <w:name w:val="Heading 3"/>
    <w:basedOn w:val="Ttulo"/>
    <w:qFormat/>
    <w:rsid w:val="00eb71f9"/>
    <w:pPr>
      <w:keepNext/>
      <w:keepLines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sz w:val="28"/>
      <w:szCs w:val="28"/>
      <w:lang w:val="es-ES" w:eastAsia="es-ES" w:bidi="ar-SA"/>
    </w:rPr>
  </w:style>
  <w:style w:type="paragraph" w:styleId="Ttulo4">
    <w:name w:val="Heading 4"/>
    <w:basedOn w:val="Ttulo"/>
    <w:qFormat/>
    <w:rsid w:val="00eb71f9"/>
    <w:pPr>
      <w:keepNext/>
      <w:keepLines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sz w:val="24"/>
      <w:szCs w:val="24"/>
      <w:lang w:val="es-ES" w:eastAsia="es-ES" w:bidi="ar-SA"/>
    </w:rPr>
  </w:style>
  <w:style w:type="paragraph" w:styleId="Ttulo5">
    <w:name w:val="Heading 5"/>
    <w:basedOn w:val="Ttulo"/>
    <w:qFormat/>
    <w:rsid w:val="00eb71f9"/>
    <w:pPr>
      <w:keepNext/>
      <w:keepLines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sz w:val="22"/>
      <w:szCs w:val="22"/>
      <w:lang w:val="es-ES" w:eastAsia="es-ES" w:bidi="ar-SA"/>
    </w:rPr>
  </w:style>
  <w:style w:type="paragraph" w:styleId="Ttulo6">
    <w:name w:val="Heading 6"/>
    <w:basedOn w:val="Ttulo"/>
    <w:qFormat/>
    <w:rsid w:val="00eb71f9"/>
    <w:pPr>
      <w:keepNext/>
      <w:keepLines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">
    <w:name w:val="ListLabel 3"/>
    <w:qFormat/>
    <w:rPr>
      <w:color w:val="000000"/>
      <w:position w:val="0"/>
      <w:sz w:val="19"/>
      <w:sz w:val="19"/>
      <w:szCs w:val="19"/>
      <w:vertAlign w:val="baseline"/>
    </w:rPr>
  </w:style>
  <w:style w:type="character" w:styleId="ListLabel4">
    <w:name w:val="ListLabel 4"/>
    <w:qFormat/>
    <w:rPr>
      <w:position w:val="0"/>
      <w:sz w:val="24"/>
      <w:sz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vertAlign w:val="baseline"/>
    </w:rPr>
  </w:style>
  <w:style w:type="character" w:styleId="ListLabel7">
    <w:name w:val="ListLabel 7"/>
    <w:qFormat/>
    <w:rPr>
      <w:position w:val="0"/>
      <w:sz w:val="24"/>
      <w:sz w:val="24"/>
      <w:vertAlign w:val="baseline"/>
    </w:rPr>
  </w:style>
  <w:style w:type="character" w:styleId="ListLabel8">
    <w:name w:val="ListLabel 8"/>
    <w:qFormat/>
    <w:rPr>
      <w:position w:val="0"/>
      <w:sz w:val="24"/>
      <w:sz w:val="24"/>
      <w:vertAlign w:val="baseline"/>
    </w:rPr>
  </w:style>
  <w:style w:type="character" w:styleId="ListLabel9">
    <w:name w:val="ListLabel 9"/>
    <w:qFormat/>
    <w:rPr>
      <w:position w:val="0"/>
      <w:sz w:val="24"/>
      <w:sz w:val="24"/>
      <w:vertAlign w:val="baseline"/>
    </w:rPr>
  </w:style>
  <w:style w:type="character" w:styleId="ListLabel10">
    <w:name w:val="ListLabel 10"/>
    <w:qFormat/>
    <w:rPr>
      <w:position w:val="0"/>
      <w:sz w:val="24"/>
      <w:sz w:val="24"/>
      <w:vertAlign w:val="baseline"/>
    </w:rPr>
  </w:style>
  <w:style w:type="character" w:styleId="ListLabel11">
    <w:name w:val="ListLabel 11"/>
    <w:qFormat/>
    <w:rPr>
      <w:rFonts w:ascii="Times New Roman" w:hAnsi="Times New Roman" w:eastAsia="Noto Sans Symbols" w:cs="Noto Sans Symbols"/>
      <w:position w:val="0"/>
      <w:sz w:val="24"/>
      <w:sz w:val="24"/>
      <w:vertAlign w:val="baseline"/>
    </w:rPr>
  </w:style>
  <w:style w:type="character" w:styleId="ListLabel12">
    <w:name w:val="ListLabel 12"/>
    <w:qFormat/>
    <w:rPr>
      <w:color w:val="000000"/>
      <w:position w:val="0"/>
      <w:sz w:val="19"/>
      <w:sz w:val="19"/>
      <w:szCs w:val="19"/>
      <w:vertAlign w:val="baseline"/>
    </w:rPr>
  </w:style>
  <w:style w:type="character" w:styleId="ListLabel13">
    <w:name w:val="ListLabel 13"/>
    <w:qFormat/>
    <w:rPr>
      <w:position w:val="0"/>
      <w:sz w:val="24"/>
      <w:sz w:val="24"/>
      <w:vertAlign w:val="baseline"/>
    </w:rPr>
  </w:style>
  <w:style w:type="character" w:styleId="ListLabel14">
    <w:name w:val="ListLabel 14"/>
    <w:qFormat/>
    <w:rPr>
      <w:position w:val="0"/>
      <w:sz w:val="24"/>
      <w:sz w:val="24"/>
      <w:vertAlign w:val="baseline"/>
    </w:rPr>
  </w:style>
  <w:style w:type="character" w:styleId="ListLabel15">
    <w:name w:val="ListLabel 15"/>
    <w:qFormat/>
    <w:rPr>
      <w:position w:val="0"/>
      <w:sz w:val="24"/>
      <w:sz w:val="24"/>
      <w:vertAlign w:val="baseline"/>
    </w:rPr>
  </w:style>
  <w:style w:type="character" w:styleId="ListLabel16">
    <w:name w:val="ListLabel 16"/>
    <w:qFormat/>
    <w:rPr>
      <w:position w:val="0"/>
      <w:sz w:val="24"/>
      <w:sz w:val="24"/>
      <w:vertAlign w:val="baseline"/>
    </w:rPr>
  </w:style>
  <w:style w:type="character" w:styleId="ListLabel17">
    <w:name w:val="ListLabel 17"/>
    <w:qFormat/>
    <w:rPr>
      <w:position w:val="0"/>
      <w:sz w:val="24"/>
      <w:sz w:val="24"/>
      <w:vertAlign w:val="baseline"/>
    </w:rPr>
  </w:style>
  <w:style w:type="character" w:styleId="ListLabel18">
    <w:name w:val="ListLabel 18"/>
    <w:qFormat/>
    <w:rPr>
      <w:position w:val="0"/>
      <w:sz w:val="24"/>
      <w:sz w:val="24"/>
      <w:vertAlign w:val="baseline"/>
    </w:rPr>
  </w:style>
  <w:style w:type="character" w:styleId="ListLabel19">
    <w:name w:val="ListLabel 19"/>
    <w:qFormat/>
    <w:rPr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eastAsia="Noto Sans Symbols" w:cs="Noto Sans Symbols"/>
      <w:color w:val="000000"/>
      <w:position w:val="0"/>
      <w:sz w:val="24"/>
      <w:sz w:val="24"/>
      <w:vertAlign w:val="baseline"/>
    </w:rPr>
  </w:style>
  <w:style w:type="character" w:styleId="ListLabel21">
    <w:name w:val="ListLabel 2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3">
    <w:name w:val="ListLabel 23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4">
    <w:name w:val="ListLabel 24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6">
    <w:name w:val="ListLabel 26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7">
    <w:name w:val="ListLabel 27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30">
    <w:name w:val="ListLabel 30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2">
    <w:name w:val="ListLabel 32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3">
    <w:name w:val="ListLabel 33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5">
    <w:name w:val="ListLabel 35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cs="Noto Sans Symbols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Noto Sans Symbols"/>
      <w:position w:val="0"/>
      <w:sz w:val="24"/>
      <w:sz w:val="24"/>
      <w:vertAlign w:val="baseline"/>
    </w:rPr>
  </w:style>
  <w:style w:type="character" w:styleId="ListLabel48">
    <w:name w:val="ListLabel 48"/>
    <w:qFormat/>
    <w:rPr>
      <w:color w:val="000000"/>
      <w:position w:val="0"/>
      <w:sz w:val="19"/>
      <w:sz w:val="19"/>
      <w:szCs w:val="19"/>
      <w:vertAlign w:val="baseline"/>
    </w:rPr>
  </w:style>
  <w:style w:type="character" w:styleId="ListLabel49">
    <w:name w:val="ListLabel 49"/>
    <w:qFormat/>
    <w:rPr>
      <w:position w:val="0"/>
      <w:sz w:val="24"/>
      <w:sz w:val="24"/>
      <w:vertAlign w:val="baseline"/>
    </w:rPr>
  </w:style>
  <w:style w:type="character" w:styleId="ListLabel50">
    <w:name w:val="ListLabel 50"/>
    <w:qFormat/>
    <w:rPr>
      <w:position w:val="0"/>
      <w:sz w:val="24"/>
      <w:sz w:val="24"/>
      <w:vertAlign w:val="baseline"/>
    </w:rPr>
  </w:style>
  <w:style w:type="character" w:styleId="ListLabel51">
    <w:name w:val="ListLabel 51"/>
    <w:qFormat/>
    <w:rPr>
      <w:position w:val="0"/>
      <w:sz w:val="24"/>
      <w:sz w:val="24"/>
      <w:vertAlign w:val="baseline"/>
    </w:rPr>
  </w:style>
  <w:style w:type="character" w:styleId="ListLabel52">
    <w:name w:val="ListLabel 52"/>
    <w:qFormat/>
    <w:rPr>
      <w:position w:val="0"/>
      <w:sz w:val="24"/>
      <w:sz w:val="24"/>
      <w:vertAlign w:val="baseline"/>
    </w:rPr>
  </w:style>
  <w:style w:type="character" w:styleId="ListLabel53">
    <w:name w:val="ListLabel 53"/>
    <w:qFormat/>
    <w:rPr>
      <w:position w:val="0"/>
      <w:sz w:val="24"/>
      <w:sz w:val="24"/>
      <w:vertAlign w:val="baseline"/>
    </w:rPr>
  </w:style>
  <w:style w:type="character" w:styleId="ListLabel54">
    <w:name w:val="ListLabel 54"/>
    <w:qFormat/>
    <w:rPr>
      <w:position w:val="0"/>
      <w:sz w:val="24"/>
      <w:sz w:val="24"/>
      <w:vertAlign w:val="baseline"/>
    </w:rPr>
  </w:style>
  <w:style w:type="character" w:styleId="ListLabel55">
    <w:name w:val="ListLabel 55"/>
    <w:qFormat/>
    <w:rPr>
      <w:position w:val="0"/>
      <w:sz w:val="24"/>
      <w:sz w:val="24"/>
      <w:vertAlign w:val="baseline"/>
    </w:rPr>
  </w:style>
  <w:style w:type="character" w:styleId="ListLabel56">
    <w:name w:val="ListLabel 56"/>
    <w:qFormat/>
    <w:rPr>
      <w:rFonts w:ascii="Times New Roman" w:hAnsi="Times New Roman" w:cs="Noto Sans Symbols"/>
      <w:position w:val="0"/>
      <w:sz w:val="24"/>
      <w:sz w:val="24"/>
      <w:vertAlign w:val="baseline"/>
    </w:rPr>
  </w:style>
  <w:style w:type="character" w:styleId="ListLabel57">
    <w:name w:val="ListLabel 57"/>
    <w:qFormat/>
    <w:rPr>
      <w:color w:val="000000"/>
      <w:position w:val="0"/>
      <w:sz w:val="19"/>
      <w:sz w:val="19"/>
      <w:szCs w:val="19"/>
      <w:vertAlign w:val="baseline"/>
    </w:rPr>
  </w:style>
  <w:style w:type="character" w:styleId="ListLabel58">
    <w:name w:val="ListLabel 58"/>
    <w:qFormat/>
    <w:rPr>
      <w:position w:val="0"/>
      <w:sz w:val="24"/>
      <w:sz w:val="24"/>
      <w:vertAlign w:val="baseline"/>
    </w:rPr>
  </w:style>
  <w:style w:type="character" w:styleId="ListLabel59">
    <w:name w:val="ListLabel 59"/>
    <w:qFormat/>
    <w:rPr>
      <w:position w:val="0"/>
      <w:sz w:val="24"/>
      <w:sz w:val="24"/>
      <w:vertAlign w:val="baseline"/>
    </w:rPr>
  </w:style>
  <w:style w:type="character" w:styleId="ListLabel60">
    <w:name w:val="ListLabel 60"/>
    <w:qFormat/>
    <w:rPr>
      <w:position w:val="0"/>
      <w:sz w:val="24"/>
      <w:sz w:val="24"/>
      <w:vertAlign w:val="baseline"/>
    </w:rPr>
  </w:style>
  <w:style w:type="character" w:styleId="ListLabel61">
    <w:name w:val="ListLabel 61"/>
    <w:qFormat/>
    <w:rPr>
      <w:position w:val="0"/>
      <w:sz w:val="24"/>
      <w:sz w:val="24"/>
      <w:vertAlign w:val="baseline"/>
    </w:rPr>
  </w:style>
  <w:style w:type="character" w:styleId="ListLabel62">
    <w:name w:val="ListLabel 62"/>
    <w:qFormat/>
    <w:rPr>
      <w:position w:val="0"/>
      <w:sz w:val="24"/>
      <w:sz w:val="24"/>
      <w:vertAlign w:val="baseline"/>
    </w:rPr>
  </w:style>
  <w:style w:type="character" w:styleId="ListLabel63">
    <w:name w:val="ListLabel 63"/>
    <w:qFormat/>
    <w:rPr>
      <w:position w:val="0"/>
      <w:sz w:val="24"/>
      <w:sz w:val="24"/>
      <w:vertAlign w:val="baseline"/>
    </w:rPr>
  </w:style>
  <w:style w:type="character" w:styleId="ListLabel64">
    <w:name w:val="ListLabel 64"/>
    <w:qFormat/>
    <w:rPr>
      <w:position w:val="0"/>
      <w:sz w:val="24"/>
      <w:sz w:val="24"/>
      <w:vertAlign w:val="baseline"/>
    </w:rPr>
  </w:style>
  <w:style w:type="character" w:styleId="ListLabel65">
    <w:name w:val="ListLabel 65"/>
    <w:qFormat/>
    <w:rPr>
      <w:rFonts w:cs="Noto Sans Symbols"/>
      <w:color w:val="000000"/>
      <w:position w:val="0"/>
      <w:sz w:val="24"/>
      <w:sz w:val="24"/>
      <w:vertAlign w:val="baseline"/>
    </w:rPr>
  </w:style>
  <w:style w:type="character" w:styleId="ListLabel66">
    <w:name w:val="ListLabel 66"/>
    <w:qFormat/>
    <w:rPr>
      <w:rFonts w:cs="Noto Sans Symbols"/>
      <w:position w:val="0"/>
      <w:sz w:val="24"/>
      <w:sz w:val="24"/>
      <w:vertAlign w:val="baseline"/>
    </w:rPr>
  </w:style>
  <w:style w:type="character" w:styleId="ListLabel67">
    <w:name w:val="ListLabel 67"/>
    <w:qFormat/>
    <w:rPr>
      <w:rFonts w:cs="Noto Sans Symbols"/>
      <w:position w:val="0"/>
      <w:sz w:val="24"/>
      <w:sz w:val="24"/>
      <w:vertAlign w:val="baseline"/>
    </w:rPr>
  </w:style>
  <w:style w:type="character" w:styleId="ListLabel68">
    <w:name w:val="ListLabel 68"/>
    <w:qFormat/>
    <w:rPr>
      <w:rFonts w:cs="Noto Sans Symbols"/>
      <w:position w:val="0"/>
      <w:sz w:val="24"/>
      <w:sz w:val="24"/>
      <w:vertAlign w:val="baseline"/>
    </w:rPr>
  </w:style>
  <w:style w:type="character" w:styleId="ListLabel69">
    <w:name w:val="ListLabel 69"/>
    <w:qFormat/>
    <w:rPr>
      <w:rFonts w:cs="Courier New"/>
      <w:position w:val="0"/>
      <w:sz w:val="24"/>
      <w:sz w:val="24"/>
      <w:vertAlign w:val="baseline"/>
    </w:rPr>
  </w:style>
  <w:style w:type="character" w:styleId="ListLabel70">
    <w:name w:val="ListLabel 70"/>
    <w:qFormat/>
    <w:rPr>
      <w:rFonts w:cs="Noto Sans Symbols"/>
      <w:position w:val="0"/>
      <w:sz w:val="24"/>
      <w:sz w:val="24"/>
      <w:vertAlign w:val="baseline"/>
    </w:rPr>
  </w:style>
  <w:style w:type="character" w:styleId="ListLabel71">
    <w:name w:val="ListLabel 71"/>
    <w:qFormat/>
    <w:rPr>
      <w:rFonts w:cs="Noto Sans Symbols"/>
      <w:position w:val="0"/>
      <w:sz w:val="24"/>
      <w:sz w:val="24"/>
      <w:vertAlign w:val="baseline"/>
    </w:rPr>
  </w:style>
  <w:style w:type="character" w:styleId="ListLabel72">
    <w:name w:val="ListLabel 72"/>
    <w:qFormat/>
    <w:rPr>
      <w:rFonts w:cs="Courier New"/>
      <w:position w:val="0"/>
      <w:sz w:val="24"/>
      <w:sz w:val="24"/>
      <w:vertAlign w:val="baseline"/>
    </w:rPr>
  </w:style>
  <w:style w:type="character" w:styleId="ListLabel73">
    <w:name w:val="ListLabel 73"/>
    <w:qFormat/>
    <w:rPr>
      <w:rFonts w:cs="Noto Sans Symbols"/>
      <w:position w:val="0"/>
      <w:sz w:val="24"/>
      <w:sz w:val="24"/>
      <w:vertAlign w:val="baseline"/>
    </w:rPr>
  </w:style>
  <w:style w:type="character" w:styleId="ListLabel74">
    <w:name w:val="ListLabel 74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75">
    <w:name w:val="ListLabel 75"/>
    <w:qFormat/>
    <w:rPr>
      <w:rFonts w:cs="Courier New"/>
      <w:position w:val="0"/>
      <w:sz w:val="24"/>
      <w:sz w:val="24"/>
      <w:vertAlign w:val="baseline"/>
    </w:rPr>
  </w:style>
  <w:style w:type="character" w:styleId="ListLabel76">
    <w:name w:val="ListLabel 76"/>
    <w:qFormat/>
    <w:rPr>
      <w:rFonts w:cs="Noto Sans Symbols"/>
      <w:position w:val="0"/>
      <w:sz w:val="24"/>
      <w:sz w:val="24"/>
      <w:vertAlign w:val="baseline"/>
    </w:rPr>
  </w:style>
  <w:style w:type="character" w:styleId="ListLabel77">
    <w:name w:val="ListLabel 77"/>
    <w:qFormat/>
    <w:rPr>
      <w:rFonts w:cs="Noto Sans Symbols"/>
      <w:position w:val="0"/>
      <w:sz w:val="24"/>
      <w:sz w:val="24"/>
      <w:vertAlign w:val="baseline"/>
    </w:rPr>
  </w:style>
  <w:style w:type="character" w:styleId="ListLabel78">
    <w:name w:val="ListLabel 78"/>
    <w:qFormat/>
    <w:rPr>
      <w:rFonts w:cs="Courier New"/>
      <w:position w:val="0"/>
      <w:sz w:val="24"/>
      <w:sz w:val="24"/>
      <w:vertAlign w:val="baseline"/>
    </w:rPr>
  </w:style>
  <w:style w:type="character" w:styleId="ListLabel79">
    <w:name w:val="ListLabel 79"/>
    <w:qFormat/>
    <w:rPr>
      <w:rFonts w:cs="Noto Sans Symbols"/>
      <w:position w:val="0"/>
      <w:sz w:val="24"/>
      <w:sz w:val="24"/>
      <w:vertAlign w:val="baseline"/>
    </w:rPr>
  </w:style>
  <w:style w:type="character" w:styleId="ListLabel80">
    <w:name w:val="ListLabel 80"/>
    <w:qFormat/>
    <w:rPr>
      <w:rFonts w:cs="Noto Sans Symbols"/>
      <w:position w:val="0"/>
      <w:sz w:val="24"/>
      <w:sz w:val="24"/>
      <w:vertAlign w:val="baseline"/>
    </w:rPr>
  </w:style>
  <w:style w:type="character" w:styleId="ListLabel81">
    <w:name w:val="ListLabel 81"/>
    <w:qFormat/>
    <w:rPr>
      <w:rFonts w:cs="Courier New"/>
      <w:position w:val="0"/>
      <w:sz w:val="24"/>
      <w:sz w:val="24"/>
      <w:vertAlign w:val="baseline"/>
    </w:rPr>
  </w:style>
  <w:style w:type="character" w:styleId="ListLabel82">
    <w:name w:val="ListLabel 82"/>
    <w:qFormat/>
    <w:rPr>
      <w:rFonts w:cs="Noto Sans Symbols"/>
      <w:position w:val="0"/>
      <w:sz w:val="24"/>
      <w:sz w:val="24"/>
      <w:vertAlign w:val="baselin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eb71f9"/>
    <w:pPr>
      <w:widowControl/>
      <w:bidi w:val="0"/>
      <w:jc w:val="left"/>
    </w:pPr>
    <w:rPr>
      <w:rFonts w:ascii="Arial" w:hAnsi="Arial" w:eastAsia="Arial" w:cs="Arial"/>
      <w:color w:val="00000A"/>
      <w:sz w:val="24"/>
      <w:szCs w:val="24"/>
      <w:lang w:val="es-ES" w:eastAsia="es-ES" w:bidi="ar-SA"/>
    </w:rPr>
  </w:style>
  <w:style w:type="paragraph" w:styleId="Titular">
    <w:name w:val="Title"/>
    <w:basedOn w:val="LOnormal"/>
    <w:qFormat/>
    <w:rsid w:val="00eb71f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qFormat/>
    <w:rsid w:val="00eb71f9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b71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LibreOffice/5.2.6.2$Windows_X86_64 LibreOffice_project/a3100ed2409ebf1c212f5048fbe377c281438fdc</Application>
  <Pages>8</Pages>
  <Words>2263</Words>
  <Characters>12880</Characters>
  <CharactersWithSpaces>14998</CharactersWithSpaces>
  <Paragraphs>166</Paragraphs>
  <Company>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2018-05-03T10:59:00Z</dcterms:created>
  <dc:creator/>
  <dc:description/>
  <dc:language>es-ES</dc:language>
  <cp:lastModifiedBy/>
  <dcterms:modified xsi:type="dcterms:W3CDTF">2018-05-03T13:14:50Z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